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080 2012 742 vom 17. Juni 2013</w:t>
      </w:r>
    </w:p>
    <w:p>
      <w:r>
        <w:t>BL Gerichte, 2013-06-17, DE</w:t>
      </w:r>
    </w:p>
    <w:p>
      <w:r>
        <w:rPr>
          <w:b/>
        </w:rPr>
        <w:t xml:space="preserve">Quelle: </w:t>
      </w:r>
      <w:r>
        <w:t>https://mcp.opencaselaw.ch/entscheid/bl_gerichte_080 2012 742</w:t>
      </w:r>
    </w:p>
    <w:p>
      <w:r>
        <w:t>FR: BL_GERICHTE 080 2012 742 du 17 juin 2013</w:t>
      </w:r>
    </w:p>
    <w:p>
      <w:r>
        <w:t>IT: BL_GERICHTE 080 2012 742 del 17 giugno 2013</w:t>
      </w:r>
    </w:p>
    <w:p>
      <w:pPr>
        <w:pStyle w:val="Heading2"/>
      </w:pPr>
      <w:r>
        <w:t>Regeste</w:t>
      </w:r>
    </w:p>
    <w:p>
      <w:r>
        <w:t>Anwaltsrecht Entbindung Anwaltsgeheimnis</w:t>
      </w:r>
    </w:p>
    <w:p>
      <w:pPr>
        <w:pStyle w:val="Heading2"/>
      </w:pPr>
      <w:r>
        <w:t>Erwägungen</w:t>
      </w:r>
    </w:p>
    <w:p>
      <w:r>
        <w:rPr>
          <w:b/>
        </w:rPr>
        <w:t>E. 4</w:t>
      </w:r>
    </w:p>
    <w:p>
      <w:r>
        <w:t>Zufolge fehlender entsprechender gesetzlicher Bestimmungen im AnwG und in der Verordnung über die Gebühren zum AnwG vom 28. Oktober 2002 werden keine ordentlichen Kosten erhoben und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